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62" w:rsidRDefault="00D60C62" w:rsidP="00D60C62">
      <w:pPr>
        <w:pStyle w:val="Standard"/>
        <w:pageBreakBefore/>
        <w:jc w:val="center"/>
        <w:rPr>
          <w:rFonts w:ascii="Arial" w:hAnsi="Arial"/>
          <w:sz w:val="22"/>
          <w:szCs w:val="22"/>
        </w:rPr>
      </w:pPr>
    </w:p>
    <w:p w:rsidR="00D60C62" w:rsidRDefault="00D60C62" w:rsidP="00D60C62">
      <w:pPr>
        <w:pStyle w:val="Standard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hd w:val="clear" w:color="auto" w:fill="FFCC0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Travaux sur bâtiments accueillant des espèces protégées</w:t>
      </w:r>
    </w:p>
    <w:p w:rsidR="00D60C62" w:rsidRDefault="00D60C62" w:rsidP="00D60C62">
      <w:pPr>
        <w:pStyle w:val="Standard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hd w:val="clear" w:color="auto" w:fill="FFCC00"/>
        <w:jc w:val="center"/>
        <w:rPr>
          <w:rFonts w:ascii="Arial" w:hAnsi="Arial"/>
          <w:sz w:val="22"/>
          <w:szCs w:val="22"/>
        </w:rPr>
      </w:pPr>
    </w:p>
    <w:p w:rsidR="00D60C62" w:rsidRDefault="00D60C62" w:rsidP="00D60C62">
      <w:pPr>
        <w:pStyle w:val="Standard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hd w:val="clear" w:color="auto" w:fill="FFCC0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Mesures spécifiques Hirondelles / Martinets </w:t>
      </w:r>
      <w:r>
        <w:rPr>
          <w:rFonts w:ascii="Arial" w:hAnsi="Arial"/>
          <w:sz w:val="22"/>
          <w:szCs w:val="22"/>
        </w:rPr>
        <w:t>(ou autres espèces d’oiseaux)</w:t>
      </w:r>
    </w:p>
    <w:p w:rsidR="00D60C62" w:rsidRDefault="00D60C62" w:rsidP="00D60C62">
      <w:pPr>
        <w:pStyle w:val="Standard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hd w:val="clear" w:color="auto" w:fill="FFCC0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protégés par l’arrêté du 29 octobre 2009</w:t>
      </w:r>
    </w:p>
    <w:p w:rsidR="00D60C62" w:rsidRDefault="00D60C62" w:rsidP="00D60C62">
      <w:pPr>
        <w:pStyle w:val="Standard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 l’absence de dérogation prévue par l’article L.411-2 du CE</w:t>
      </w:r>
    </w:p>
    <w:p w:rsidR="00D60C62" w:rsidRDefault="00D60C62" w:rsidP="00D60C62">
      <w:pPr>
        <w:pStyle w:val="Standard"/>
        <w:jc w:val="both"/>
        <w:rPr>
          <w:rFonts w:ascii="Arial" w:hAnsi="Arial"/>
          <w:sz w:val="22"/>
          <w:szCs w:val="22"/>
        </w:rPr>
      </w:pPr>
    </w:p>
    <w:p w:rsidR="00D60C62" w:rsidRDefault="00D60C62" w:rsidP="00D60C62">
      <w:pPr>
        <w:pStyle w:val="Standard"/>
        <w:rPr>
          <w:rFonts w:ascii="Arial" w:hAnsi="Arial"/>
          <w:sz w:val="22"/>
          <w:szCs w:val="22"/>
        </w:rPr>
      </w:pPr>
    </w:p>
    <w:p w:rsidR="00D60C62" w:rsidRDefault="00D60C62" w:rsidP="00D60C62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FFFFCC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PÉTITIONNAIRE / TRAVAUX</w:t>
      </w:r>
    </w:p>
    <w:p w:rsidR="00D60C62" w:rsidRDefault="00D60C62" w:rsidP="00D60C62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9"/>
        <w:gridCol w:w="6926"/>
      </w:tblGrid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Pétitionnaire </w:t>
            </w:r>
          </w:p>
        </w:tc>
        <w:tc>
          <w:tcPr>
            <w:tcW w:w="6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 :</w:t>
            </w: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 :</w:t>
            </w: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 :</w:t>
            </w: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Mail :</w:t>
            </w: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Nature des travaux</w:t>
            </w:r>
          </w:p>
        </w:tc>
        <w:tc>
          <w:tcPr>
            <w:tcW w:w="6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></w:t>
            </w:r>
            <w:r>
              <w:rPr>
                <w:rFonts w:ascii="Arial" w:eastAsia="Times" w:hAnsi="Arial" w:cs="Times"/>
                <w:sz w:val="22"/>
                <w:szCs w:val="22"/>
              </w:rPr>
              <w:t xml:space="preserve"> Démolition de bâtiment</w:t>
            </w: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></w:t>
            </w:r>
            <w:r>
              <w:rPr>
                <w:rFonts w:ascii="Arial" w:eastAsia="Times" w:hAnsi="Arial" w:cs="Times"/>
                <w:sz w:val="22"/>
                <w:szCs w:val="22"/>
              </w:rPr>
              <w:t xml:space="preserve"> Ravalement de façade / isolation de bâtiment</w:t>
            </w: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></w:t>
            </w:r>
            <w:r>
              <w:rPr>
                <w:rFonts w:ascii="Arial" w:eastAsia="Times" w:hAnsi="Arial" w:cs="Times"/>
                <w:sz w:val="22"/>
                <w:szCs w:val="22"/>
              </w:rPr>
              <w:t xml:space="preserve"> Modification du bâtiment ou de son aspect (à préciser) : ………..</w:t>
            </w:r>
          </w:p>
          <w:p w:rsidR="00D60C62" w:rsidRDefault="00D60C62" w:rsidP="00654C53">
            <w:pPr>
              <w:pStyle w:val="Standard"/>
              <w:jc w:val="both"/>
              <w:rPr>
                <w:rFonts w:ascii="Arial" w:eastAsia="Times" w:hAnsi="Arial" w:cs="Times"/>
                <w:i/>
                <w:iCs/>
                <w:sz w:val="20"/>
                <w:szCs w:val="20"/>
              </w:rPr>
            </w:pPr>
          </w:p>
          <w:p w:rsidR="00D60C62" w:rsidRDefault="00D60C62" w:rsidP="00654C53">
            <w:pPr>
              <w:pStyle w:val="Standard"/>
              <w:jc w:val="both"/>
              <w:rPr>
                <w:rFonts w:ascii="Arial" w:eastAsia="Times" w:hAnsi="Arial" w:cs="Times"/>
                <w:i/>
                <w:iCs/>
                <w:sz w:val="20"/>
                <w:szCs w:val="20"/>
              </w:rPr>
            </w:pPr>
            <w:r>
              <w:rPr>
                <w:rFonts w:ascii="Arial" w:eastAsia="Times" w:hAnsi="Arial" w:cs="Times"/>
                <w:i/>
                <w:iCs/>
                <w:sz w:val="20"/>
                <w:szCs w:val="20"/>
              </w:rPr>
              <w:t>Joindre éventuellement un détail technique des travaux / plans</w:t>
            </w: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Commune</w:t>
            </w:r>
          </w:p>
          <w:p w:rsidR="00D60C62" w:rsidRDefault="00D60C62" w:rsidP="00654C53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Lieu de réalisation des opérations</w:t>
            </w:r>
          </w:p>
        </w:tc>
        <w:tc>
          <w:tcPr>
            <w:tcW w:w="6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Cliché du bâtiment / zones de nidification des espèces</w:t>
            </w:r>
          </w:p>
        </w:tc>
        <w:tc>
          <w:tcPr>
            <w:tcW w:w="6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  <w:shd w:val="clear" w:color="auto" w:fill="FFFF00"/>
              </w:rPr>
            </w:pP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  <w:shd w:val="clear" w:color="auto" w:fill="FFFF00"/>
              </w:rPr>
            </w:pP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  <w:shd w:val="clear" w:color="auto" w:fill="FFFF00"/>
              </w:rPr>
            </w:pP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  <w:shd w:val="clear" w:color="auto" w:fill="FFFF00"/>
              </w:rPr>
            </w:pP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  <w:shd w:val="clear" w:color="auto" w:fill="FFFF00"/>
              </w:rPr>
            </w:pP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Appui technique d’un ornithologue</w:t>
            </w:r>
          </w:p>
        </w:tc>
        <w:tc>
          <w:tcPr>
            <w:tcW w:w="6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></w:t>
            </w:r>
            <w:r>
              <w:rPr>
                <w:rFonts w:ascii="Arial" w:eastAsia="Times" w:hAnsi="Arial" w:cs="Times"/>
                <w:sz w:val="22"/>
                <w:szCs w:val="22"/>
              </w:rPr>
              <w:t xml:space="preserve"> Oui          </w:t>
            </w:r>
            <w:r>
              <w:rPr>
                <w:rFonts w:ascii="Arial" w:eastAsia="Webdings" w:hAnsi="Arial" w:cs="Webdings"/>
                <w:sz w:val="22"/>
                <w:szCs w:val="22"/>
              </w:rPr>
              <w:t xml:space="preserve"> </w:t>
            </w:r>
            <w:r>
              <w:rPr>
                <w:rFonts w:ascii="Arial" w:eastAsia="Times" w:hAnsi="Arial" w:cs="Times"/>
                <w:sz w:val="22"/>
                <w:szCs w:val="22"/>
              </w:rPr>
              <w:t>Non</w:t>
            </w: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 oui, nom et coordonnées :</w:t>
            </w:r>
          </w:p>
          <w:p w:rsidR="00D60C62" w:rsidRDefault="00D60C62" w:rsidP="00654C53">
            <w:pPr>
              <w:pStyle w:val="Standard"/>
              <w:jc w:val="both"/>
              <w:rPr>
                <w:rFonts w:ascii="Arial" w:hAnsi="Arial"/>
                <w:sz w:val="22"/>
                <w:szCs w:val="22"/>
                <w:shd w:val="clear" w:color="auto" w:fill="FFFF00"/>
              </w:rPr>
            </w:pPr>
          </w:p>
        </w:tc>
      </w:tr>
    </w:tbl>
    <w:p w:rsidR="00D60C62" w:rsidRDefault="00D60C62" w:rsidP="00D60C62">
      <w:pPr>
        <w:pStyle w:val="Standard"/>
        <w:jc w:val="both"/>
        <w:rPr>
          <w:rFonts w:ascii="Arial" w:hAnsi="Arial"/>
          <w:sz w:val="22"/>
          <w:szCs w:val="22"/>
        </w:rPr>
      </w:pPr>
    </w:p>
    <w:p w:rsidR="00D60C62" w:rsidRDefault="00D60C62" w:rsidP="00D60C62">
      <w:pPr>
        <w:pStyle w:val="Standard"/>
        <w:jc w:val="both"/>
        <w:rPr>
          <w:rFonts w:ascii="Arial" w:hAnsi="Arial"/>
          <w:sz w:val="22"/>
          <w:szCs w:val="22"/>
        </w:rPr>
      </w:pPr>
    </w:p>
    <w:p w:rsidR="00D60C62" w:rsidRDefault="00D60C62" w:rsidP="00D60C62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FFFFCC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ESPÈCES ET EFFECTIFS</w:t>
      </w:r>
    </w:p>
    <w:p w:rsidR="00D60C62" w:rsidRDefault="00D60C62" w:rsidP="00D60C62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425"/>
      </w:tblGrid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Espèces concernées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Effectifs / estimation des effectifs</w:t>
            </w:r>
          </w:p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(individus / couples / nids)</w:t>
            </w:r>
          </w:p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Hirondelle rustique (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Hirundo rustica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Hirondelle de fenêtre (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Delichon urbicum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Martinet à ventre blanc (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Apus melba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Martinet noir (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Apus apus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Autres espèces :</w:t>
            </w:r>
          </w:p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(à préciser : Moineau domestique, Faucon crécerelle, Rougequeue noir, etc.)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D60C62" w:rsidRDefault="00D60C62" w:rsidP="00D60C62">
      <w:pPr>
        <w:pStyle w:val="Standard"/>
        <w:jc w:val="both"/>
        <w:rPr>
          <w:rFonts w:ascii="Arial" w:hAnsi="Arial"/>
          <w:sz w:val="22"/>
          <w:szCs w:val="22"/>
        </w:rPr>
      </w:pPr>
    </w:p>
    <w:p w:rsidR="00D60C62" w:rsidRDefault="00D60C62" w:rsidP="00D60C62">
      <w:pPr>
        <w:pStyle w:val="Standard"/>
        <w:jc w:val="both"/>
        <w:rPr>
          <w:rFonts w:ascii="Arial" w:hAnsi="Arial"/>
          <w:sz w:val="22"/>
          <w:szCs w:val="22"/>
        </w:rPr>
      </w:pPr>
    </w:p>
    <w:p w:rsidR="00D60C62" w:rsidRDefault="00D60C62" w:rsidP="00D60C62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FFFFCC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MESURES PREVUES</w:t>
      </w:r>
    </w:p>
    <w:p w:rsidR="00D60C62" w:rsidRDefault="00D60C62" w:rsidP="00D60C62">
      <w:pPr>
        <w:pStyle w:val="Standard"/>
        <w:jc w:val="both"/>
        <w:rPr>
          <w:rFonts w:ascii="Arial" w:hAnsi="Arial"/>
          <w:i/>
          <w:iCs/>
          <w:sz w:val="22"/>
          <w:szCs w:val="22"/>
          <w:u w:val="single"/>
        </w:rPr>
      </w:pPr>
    </w:p>
    <w:p w:rsidR="00D60C62" w:rsidRDefault="00D60C62" w:rsidP="00D60C6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1/ Mesures de réduction</w:t>
      </w:r>
    </w:p>
    <w:p w:rsidR="00D60C62" w:rsidRDefault="00D60C62" w:rsidP="00D60C62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b/>
          <w:bCs/>
          <w:color w:val="000000"/>
          <w:sz w:val="22"/>
          <w:szCs w:val="22"/>
        </w:rPr>
      </w:pPr>
      <w:r>
        <w:rPr>
          <w:rFonts w:eastAsia="Wingdings"/>
          <w:b/>
          <w:bCs/>
          <w:color w:val="000000"/>
          <w:sz w:val="22"/>
          <w:szCs w:val="22"/>
        </w:rPr>
        <w:lastRenderedPageBreak/>
        <w:t>- MR1. Adaptation des périodes de travaux au calendrier biologique des espèces.</w:t>
      </w:r>
    </w:p>
    <w:p w:rsidR="00D60C62" w:rsidRDefault="00D60C62" w:rsidP="00D60C62">
      <w:pPr>
        <w:pStyle w:val="Courant"/>
        <w:tabs>
          <w:tab w:val="left" w:pos="0"/>
        </w:tabs>
        <w:spacing w:before="113"/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>Les travaux sont réalisés entre le XX mois et le XX mois.</w:t>
      </w:r>
    </w:p>
    <w:p w:rsidR="00D60C62" w:rsidRDefault="00D60C62" w:rsidP="00D60C62">
      <w:pPr>
        <w:pStyle w:val="Courant"/>
        <w:tabs>
          <w:tab w:val="left" w:pos="0"/>
        </w:tabs>
        <w:spacing w:before="113"/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>ou</w:t>
      </w:r>
    </w:p>
    <w:p w:rsidR="00D60C62" w:rsidRDefault="00D60C62" w:rsidP="00D60C62">
      <w:pPr>
        <w:pStyle w:val="Standard"/>
        <w:tabs>
          <w:tab w:val="left" w:pos="0"/>
        </w:tabs>
        <w:spacing w:before="113"/>
        <w:rPr>
          <w:rFonts w:ascii="Arial" w:eastAsia="Wingdings" w:hAnsi="Arial"/>
          <w:color w:val="000000"/>
          <w:sz w:val="22"/>
          <w:szCs w:val="22"/>
        </w:rPr>
      </w:pPr>
      <w:r>
        <w:rPr>
          <w:rFonts w:ascii="Arial" w:eastAsia="Wingdings" w:hAnsi="Arial"/>
          <w:color w:val="000000"/>
          <w:sz w:val="22"/>
          <w:szCs w:val="22"/>
        </w:rPr>
        <w:t>La destruction des nids existants intervient après l’envol des jeunes, entre le XX et le XXX.</w:t>
      </w:r>
    </w:p>
    <w:p w:rsidR="00D60C62" w:rsidRDefault="00D60C62" w:rsidP="00D60C62">
      <w:pPr>
        <w:pStyle w:val="Courant"/>
        <w:tabs>
          <w:tab w:val="left" w:pos="0"/>
        </w:tabs>
        <w:spacing w:before="113"/>
        <w:rPr>
          <w:rFonts w:eastAsia="Wingdings"/>
          <w:color w:val="000000"/>
          <w:sz w:val="22"/>
          <w:szCs w:val="22"/>
        </w:rPr>
      </w:pP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b/>
          <w:bCs/>
          <w:color w:val="000000"/>
          <w:sz w:val="22"/>
          <w:szCs w:val="22"/>
        </w:rPr>
      </w:pPr>
      <w:r>
        <w:rPr>
          <w:rFonts w:eastAsia="Wingdings"/>
          <w:b/>
          <w:bCs/>
          <w:color w:val="000000"/>
          <w:sz w:val="22"/>
          <w:szCs w:val="22"/>
        </w:rPr>
        <w:t>- MR2. Recréation d’habitats de reproduction favorable (pose de nichoirs artificiels)</w:t>
      </w:r>
    </w:p>
    <w:p w:rsidR="00D60C62" w:rsidRDefault="00D60C62" w:rsidP="00D60C62">
      <w:pPr>
        <w:pStyle w:val="Couran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Cette mesure comprend l’installation des nichoirs suivants :</w:t>
      </w:r>
    </w:p>
    <w:p w:rsidR="00D60C62" w:rsidRDefault="00D60C62" w:rsidP="00D60C62">
      <w:pPr>
        <w:pStyle w:val="Standard"/>
        <w:tabs>
          <w:tab w:val="left" w:pos="0"/>
        </w:tabs>
        <w:jc w:val="both"/>
        <w:rPr>
          <w:rFonts w:ascii="Arial" w:eastAsia="Wingdings" w:hAnsi="Arial"/>
          <w:b/>
          <w:bCs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1250"/>
        <w:gridCol w:w="1762"/>
        <w:gridCol w:w="2093"/>
        <w:gridCol w:w="1929"/>
      </w:tblGrid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Nature / modèle du nichoir artificiel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Lieu de pose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Date ou période de pose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Entretien / nettoyage</w:t>
            </w: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Avant le xx/xx/20xx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Oui / Non / Détail de ce qui est prévu</w:t>
            </w: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60C62" w:rsidTr="00654C53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62" w:rsidRDefault="00D60C62" w:rsidP="00654C53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D60C62" w:rsidRDefault="00D60C62" w:rsidP="00D60C62">
      <w:pPr>
        <w:pStyle w:val="Courant"/>
        <w:tabs>
          <w:tab w:val="left" w:pos="0"/>
        </w:tabs>
        <w:rPr>
          <w:color w:val="000000"/>
          <w:sz w:val="22"/>
          <w:szCs w:val="22"/>
        </w:rPr>
      </w:pP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b/>
          <w:bCs/>
          <w:color w:val="000000"/>
          <w:sz w:val="22"/>
          <w:szCs w:val="22"/>
        </w:rPr>
      </w:pPr>
      <w:r>
        <w:rPr>
          <w:rFonts w:eastAsia="Wingdings"/>
          <w:b/>
          <w:bCs/>
          <w:color w:val="000000"/>
          <w:sz w:val="22"/>
          <w:szCs w:val="22"/>
        </w:rPr>
        <w:t xml:space="preserve">- MR3. Dispositif limitant l’accès des spécimens aux habitats de reproduction </w:t>
      </w:r>
      <w:r>
        <w:rPr>
          <w:rFonts w:eastAsia="Wingdings"/>
          <w:color w:val="000000"/>
          <w:sz w:val="22"/>
          <w:szCs w:val="22"/>
        </w:rPr>
        <w:t>(le cas échéant)</w:t>
      </w:r>
    </w:p>
    <w:p w:rsidR="00D60C62" w:rsidRDefault="00D60C62" w:rsidP="00D60C62">
      <w:pPr>
        <w:pStyle w:val="Courant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Cette mesure comprend : ….. (à détailler).</w:t>
      </w:r>
    </w:p>
    <w:p w:rsidR="00D60C62" w:rsidRDefault="00D60C62" w:rsidP="00D60C62">
      <w:pPr>
        <w:pStyle w:val="Courant"/>
        <w:tabs>
          <w:tab w:val="left" w:pos="0"/>
        </w:tabs>
        <w:rPr>
          <w:color w:val="000000"/>
          <w:sz w:val="22"/>
          <w:szCs w:val="22"/>
        </w:rPr>
      </w:pPr>
    </w:p>
    <w:p w:rsidR="00D60C62" w:rsidRDefault="00D60C62" w:rsidP="00D60C62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2/ Mesures de suivis</w:t>
      </w:r>
    </w:p>
    <w:p w:rsidR="00D60C62" w:rsidRDefault="00D60C62" w:rsidP="00D60C62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 xml:space="preserve">- </w:t>
      </w:r>
      <w:r>
        <w:rPr>
          <w:rFonts w:eastAsia="Wingdings"/>
          <w:b/>
          <w:bCs/>
          <w:color w:val="000000"/>
          <w:sz w:val="22"/>
          <w:szCs w:val="22"/>
        </w:rPr>
        <w:t>MS1.</w:t>
      </w:r>
      <w:r>
        <w:rPr>
          <w:rFonts w:eastAsia="Wingdings"/>
          <w:color w:val="000000"/>
          <w:sz w:val="22"/>
          <w:szCs w:val="22"/>
        </w:rPr>
        <w:t xml:space="preserve"> </w:t>
      </w:r>
      <w:r>
        <w:rPr>
          <w:rFonts w:eastAsia="Wingdings"/>
          <w:b/>
          <w:bCs/>
          <w:color w:val="000000"/>
          <w:sz w:val="22"/>
          <w:szCs w:val="22"/>
        </w:rPr>
        <w:t>Compte rendu des opérations effectuées</w:t>
      </w: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>Un compte rendu des opérations effectuées attestant de la mise en œuvre des mesures est adressé à la DREAL/SEHN (pme.ehn.dreal-ara@developpement-durable.gouv.fr) dans un délai de deux mois maximum, après la réalisation des travaux, soit à priori avant le XX/XX/20XX.</w:t>
      </w: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 xml:space="preserve">- </w:t>
      </w:r>
      <w:r>
        <w:rPr>
          <w:rFonts w:eastAsia="Wingdings"/>
          <w:b/>
          <w:bCs/>
          <w:color w:val="000000"/>
          <w:sz w:val="22"/>
          <w:szCs w:val="22"/>
        </w:rPr>
        <w:t>MS2. Suivi de l’efficacité de la mesure MR2</w:t>
      </w: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>Un suivi de l’efficacité de la mesure MR2 est mis en place en années n+1, n+3, n+5 (à adapter éventuellement avec les conseils d’un ornithologue). Il vérifie l’occupation des habitats de reproduction implantés sur le site. Un compte rendu de suivi est adressé à la DREAL/SEHN (pme.ehn.dreal-ara@developpement-durable.gouv.fr) au plus tard le 31 décembre des années concernées.</w:t>
      </w: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ab/>
        <w:t>Fait à ………..</w:t>
      </w: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ab/>
        <w:t>Le ……..</w:t>
      </w: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</w:p>
    <w:p w:rsidR="00D60C62" w:rsidRDefault="00D60C62" w:rsidP="00D60C62">
      <w:pPr>
        <w:pStyle w:val="Courant"/>
        <w:tabs>
          <w:tab w:val="left" w:pos="0"/>
        </w:tabs>
        <w:rPr>
          <w:rFonts w:eastAsia="Wingdings"/>
          <w:color w:val="000000"/>
          <w:sz w:val="22"/>
          <w:szCs w:val="22"/>
        </w:rPr>
      </w:pPr>
      <w:r>
        <w:rPr>
          <w:rFonts w:eastAsia="Wingdings"/>
          <w:color w:val="000000"/>
          <w:sz w:val="22"/>
          <w:szCs w:val="22"/>
        </w:rPr>
        <w:tab/>
      </w:r>
      <w:r>
        <w:rPr>
          <w:rFonts w:eastAsia="Wingdings"/>
          <w:color w:val="000000"/>
          <w:sz w:val="22"/>
          <w:szCs w:val="22"/>
        </w:rPr>
        <w:tab/>
      </w:r>
      <w:r>
        <w:rPr>
          <w:rFonts w:eastAsia="Wingdings"/>
          <w:color w:val="000000"/>
          <w:sz w:val="22"/>
          <w:szCs w:val="22"/>
        </w:rPr>
        <w:tab/>
      </w:r>
      <w:r>
        <w:rPr>
          <w:rFonts w:eastAsia="Wingdings"/>
          <w:color w:val="000000"/>
          <w:sz w:val="22"/>
          <w:szCs w:val="22"/>
        </w:rPr>
        <w:tab/>
      </w:r>
      <w:r>
        <w:rPr>
          <w:rFonts w:eastAsia="Wingdings"/>
          <w:color w:val="000000"/>
          <w:sz w:val="22"/>
          <w:szCs w:val="22"/>
        </w:rPr>
        <w:tab/>
      </w:r>
      <w:r>
        <w:rPr>
          <w:rFonts w:eastAsia="Wingdings"/>
          <w:color w:val="000000"/>
          <w:sz w:val="22"/>
          <w:szCs w:val="22"/>
        </w:rPr>
        <w:tab/>
      </w:r>
      <w:r>
        <w:rPr>
          <w:rFonts w:eastAsia="Wingdings"/>
          <w:color w:val="000000"/>
          <w:sz w:val="22"/>
          <w:szCs w:val="22"/>
        </w:rPr>
        <w:tab/>
      </w:r>
      <w:r>
        <w:rPr>
          <w:rFonts w:eastAsia="Wingdings"/>
          <w:color w:val="000000"/>
          <w:sz w:val="22"/>
          <w:szCs w:val="22"/>
        </w:rPr>
        <w:tab/>
        <w:t>Signature du pétitionnaire</w:t>
      </w:r>
    </w:p>
    <w:p w:rsidR="00D60C62" w:rsidRDefault="00D60C62" w:rsidP="00D60C62">
      <w:pPr>
        <w:pStyle w:val="Standard"/>
        <w:rPr>
          <w:rFonts w:ascii="Arial" w:hAnsi="Arial"/>
          <w:sz w:val="22"/>
          <w:szCs w:val="22"/>
        </w:rPr>
      </w:pPr>
    </w:p>
    <w:p w:rsidR="00EF5DC8" w:rsidRDefault="00EF5DC8">
      <w:bookmarkStart w:id="0" w:name="_GoBack"/>
      <w:bookmarkEnd w:id="0"/>
    </w:p>
    <w:sectPr w:rsidR="00EF5DC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53"/>
    <w:rsid w:val="006D2E53"/>
    <w:rsid w:val="00D60C62"/>
    <w:rsid w:val="00E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2AF-4E60-4074-8DD3-8E472D11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60C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urant">
    <w:name w:val="Courant"/>
    <w:basedOn w:val="Normal"/>
    <w:rsid w:val="00D60C62"/>
    <w:pPr>
      <w:overflowPunct w:val="0"/>
      <w:autoSpaceDE w:val="0"/>
      <w:spacing w:before="120"/>
      <w:jc w:val="both"/>
    </w:pPr>
    <w:rPr>
      <w:rFonts w:ascii="Arial" w:eastAsia="Arial" w:hAnsi="Arial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60C62"/>
    <w:pPr>
      <w:widowControl w:val="0"/>
      <w:suppressLineNumbers/>
    </w:pPr>
    <w:rPr>
      <w:rFonts w:ascii="Times New Roman" w:eastAsia="Arial Unicode MS" w:hAnsi="Times New Roman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B85A6742.dotm</Template>
  <TotalTime>1</TotalTime>
  <Pages>2</Pages>
  <Words>407</Words>
  <Characters>2239</Characters>
  <Application>Microsoft Office Word</Application>
  <DocSecurity>0</DocSecurity>
  <Lines>18</Lines>
  <Paragraphs>5</Paragraphs>
  <ScaleCrop>false</ScaleCrop>
  <Company>Le Grand Lyon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Nélia DUPIRE</dc:creator>
  <cp:keywords/>
  <dc:description/>
  <cp:lastModifiedBy>Nélia DUPIRE</cp:lastModifiedBy>
  <cp:revision>2</cp:revision>
  <dcterms:created xsi:type="dcterms:W3CDTF">2022-06-17T08:53:00Z</dcterms:created>
  <dcterms:modified xsi:type="dcterms:W3CDTF">2022-06-17T08:54:00Z</dcterms:modified>
</cp:coreProperties>
</file>